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0353" w:rsidRPr="000D5EC9" w:rsidRDefault="00013936" w:rsidP="002D2BFB">
      <w:pPr>
        <w:pStyle w:val="CRCoverPage"/>
        <w:tabs>
          <w:tab w:val="right" w:pos="13323"/>
        </w:tabs>
        <w:spacing w:after="0"/>
        <w:rPr>
          <w:rFonts w:cs="Arial"/>
          <w:b/>
          <w:noProof/>
          <w:sz w:val="24"/>
          <w:szCs w:val="24"/>
        </w:rPr>
      </w:pPr>
      <w:bookmarkStart w:id="0" w:name="_Toc193024528"/>
      <w:r w:rsidRPr="00013936">
        <w:rPr>
          <w:b/>
          <w:noProof/>
          <w:sz w:val="24"/>
        </w:rPr>
        <w:t>3GPP TSG RAN</w:t>
      </w:r>
      <w:r w:rsidR="001D634E">
        <w:rPr>
          <w:b/>
          <w:noProof/>
          <w:sz w:val="24"/>
        </w:rPr>
        <w:t>4</w:t>
      </w:r>
      <w:r w:rsidRPr="00013936">
        <w:rPr>
          <w:b/>
          <w:noProof/>
          <w:sz w:val="24"/>
        </w:rPr>
        <w:t xml:space="preserve"> Meeting #</w:t>
      </w:r>
      <w:r w:rsidR="001D634E">
        <w:rPr>
          <w:b/>
          <w:noProof/>
          <w:sz w:val="24"/>
        </w:rPr>
        <w:t>9</w:t>
      </w:r>
      <w:r w:rsidR="004E7AD8">
        <w:rPr>
          <w:b/>
          <w:noProof/>
          <w:sz w:val="24"/>
        </w:rPr>
        <w:t>8</w:t>
      </w:r>
      <w:r w:rsidR="001D634E">
        <w:rPr>
          <w:b/>
          <w:noProof/>
          <w:sz w:val="24"/>
        </w:rPr>
        <w:t>e</w:t>
      </w:r>
      <w:r w:rsidR="00980353" w:rsidRPr="000D5EC9">
        <w:rPr>
          <w:rFonts w:cs="Arial"/>
          <w:b/>
          <w:noProof/>
          <w:sz w:val="24"/>
          <w:szCs w:val="24"/>
        </w:rPr>
        <w:tab/>
      </w:r>
      <w:r w:rsidR="00592BD1" w:rsidRPr="00592BD1">
        <w:rPr>
          <w:rFonts w:eastAsia="宋体" w:cs="Arial"/>
          <w:b/>
          <w:noProof/>
          <w:sz w:val="24"/>
          <w:szCs w:val="24"/>
          <w:lang w:eastAsia="zh-CN"/>
        </w:rPr>
        <w:t>R4-2102397</w:t>
      </w:r>
      <w:bookmarkStart w:id="1" w:name="_GoBack"/>
      <w:bookmarkEnd w:id="1"/>
    </w:p>
    <w:p w:rsidR="00980353" w:rsidRPr="00924B93" w:rsidRDefault="004E7AD8" w:rsidP="00980353">
      <w:pPr>
        <w:pStyle w:val="CRCoverPage"/>
        <w:outlineLvl w:val="0"/>
        <w:rPr>
          <w:b/>
          <w:noProof/>
          <w:sz w:val="24"/>
        </w:rPr>
      </w:pPr>
      <w:r w:rsidRPr="004E7AD8">
        <w:rPr>
          <w:b/>
          <w:noProof/>
          <w:sz w:val="24"/>
        </w:rPr>
        <w:t>Electronic Meeting, Jan. 25-Feb. 5, 2021</w:t>
      </w:r>
    </w:p>
    <w:p w:rsidR="0037119B" w:rsidRPr="00980353" w:rsidRDefault="0037119B" w:rsidP="004F2CB8">
      <w:pPr>
        <w:pStyle w:val="Footer"/>
        <w:jc w:val="left"/>
        <w:rPr>
          <w:rFonts w:eastAsia="宋体"/>
          <w:b w:val="0"/>
          <w:i w:val="0"/>
          <w:noProof w:val="0"/>
          <w:sz w:val="24"/>
          <w:lang w:eastAsia="zh-CN"/>
        </w:rPr>
      </w:pPr>
    </w:p>
    <w:p w:rsidR="0037119B" w:rsidRPr="00492450" w:rsidRDefault="0037119B" w:rsidP="004F2CB8">
      <w:pPr>
        <w:tabs>
          <w:tab w:val="left" w:pos="1985"/>
        </w:tabs>
        <w:ind w:left="1980" w:hanging="1980"/>
        <w:rPr>
          <w:rStyle w:val="a4"/>
        </w:rPr>
      </w:pPr>
      <w:r w:rsidRPr="00492450">
        <w:rPr>
          <w:rFonts w:ascii="Arial" w:hAnsi="Arial"/>
          <w:b/>
          <w:sz w:val="24"/>
          <w:lang w:val="en-US"/>
        </w:rPr>
        <w:t>Title:</w:t>
      </w:r>
      <w:r w:rsidRPr="00492450">
        <w:rPr>
          <w:rFonts w:ascii="Arial" w:hAnsi="Arial"/>
          <w:sz w:val="24"/>
          <w:lang w:val="en-US"/>
        </w:rPr>
        <w:t xml:space="preserve"> </w:t>
      </w:r>
      <w:r w:rsidRPr="00492450">
        <w:rPr>
          <w:rFonts w:ascii="Arial" w:hAnsi="Arial"/>
          <w:sz w:val="24"/>
          <w:lang w:val="en-US"/>
        </w:rPr>
        <w:tab/>
      </w:r>
      <w:r w:rsidR="00B064EB">
        <w:rPr>
          <w:rFonts w:ascii="Arial" w:hAnsi="Arial"/>
          <w:sz w:val="24"/>
          <w:lang w:val="en-US"/>
        </w:rPr>
        <w:t>On</w:t>
      </w:r>
      <w:r w:rsidR="001E666D" w:rsidRPr="001E666D">
        <w:rPr>
          <w:rFonts w:ascii="Arial" w:hAnsi="Arial"/>
          <w:sz w:val="24"/>
          <w:lang w:val="en-US"/>
        </w:rPr>
        <w:t xml:space="preserve"> 2Tx - 2Tx UE uplink switch</w:t>
      </w:r>
    </w:p>
    <w:p w:rsidR="0037119B" w:rsidRPr="00492450" w:rsidRDefault="0037119B" w:rsidP="000F698D">
      <w:pPr>
        <w:tabs>
          <w:tab w:val="left" w:pos="1985"/>
        </w:tabs>
        <w:ind w:left="1990" w:hangingChars="826" w:hanging="1990"/>
        <w:rPr>
          <w:rStyle w:val="a4"/>
          <w:lang w:val="fr-FR"/>
        </w:rPr>
      </w:pPr>
      <w:r w:rsidRPr="00492450">
        <w:rPr>
          <w:rFonts w:ascii="Arial" w:hAnsi="Arial"/>
          <w:b/>
          <w:sz w:val="24"/>
          <w:lang w:val="fr-FR"/>
        </w:rPr>
        <w:t xml:space="preserve">Source: </w:t>
      </w:r>
      <w:r w:rsidRPr="00492450">
        <w:rPr>
          <w:rFonts w:ascii="Arial" w:hAnsi="Arial"/>
          <w:b/>
          <w:sz w:val="24"/>
          <w:lang w:val="fr-FR"/>
        </w:rPr>
        <w:tab/>
      </w:r>
      <w:r w:rsidR="00C77D4A">
        <w:rPr>
          <w:rStyle w:val="a4"/>
          <w:rFonts w:hint="eastAsia"/>
          <w:lang w:val="fr-FR"/>
        </w:rPr>
        <w:t>Huawei</w:t>
      </w:r>
      <w:r w:rsidR="00B1158E">
        <w:rPr>
          <w:rStyle w:val="a4"/>
          <w:lang w:val="fr-FR"/>
        </w:rPr>
        <w:t>, HiSilicon</w:t>
      </w:r>
    </w:p>
    <w:p w:rsidR="0037119B" w:rsidRPr="00492450" w:rsidRDefault="0037119B" w:rsidP="004F2CB8">
      <w:pPr>
        <w:tabs>
          <w:tab w:val="left" w:pos="1985"/>
        </w:tabs>
        <w:rPr>
          <w:rStyle w:val="a4"/>
          <w:lang w:val="pt-BR"/>
        </w:rPr>
      </w:pPr>
      <w:r w:rsidRPr="00492450">
        <w:rPr>
          <w:rFonts w:ascii="Arial" w:hAnsi="Arial"/>
          <w:b/>
          <w:sz w:val="24"/>
          <w:lang w:val="pt-BR"/>
        </w:rPr>
        <w:t>Agenda item:</w:t>
      </w:r>
      <w:r w:rsidRPr="00492450">
        <w:rPr>
          <w:rFonts w:ascii="Arial" w:hAnsi="Arial"/>
          <w:sz w:val="24"/>
          <w:lang w:val="pt-BR"/>
        </w:rPr>
        <w:tab/>
      </w:r>
      <w:r w:rsidR="00205105">
        <w:rPr>
          <w:rFonts w:ascii="Arial" w:hAnsi="Arial"/>
          <w:sz w:val="24"/>
          <w:lang w:val="pt-BR"/>
        </w:rPr>
        <w:t>1</w:t>
      </w:r>
      <w:r w:rsidR="00543555">
        <w:rPr>
          <w:rFonts w:ascii="Arial" w:hAnsi="Arial"/>
          <w:sz w:val="24"/>
          <w:lang w:val="pt-BR"/>
        </w:rPr>
        <w:t>1</w:t>
      </w:r>
      <w:r w:rsidR="001E666D">
        <w:rPr>
          <w:rFonts w:ascii="Arial" w:hAnsi="Arial"/>
          <w:sz w:val="24"/>
          <w:lang w:val="pt-BR"/>
        </w:rPr>
        <w:t>.2.2.</w:t>
      </w:r>
      <w:r w:rsidR="00543555">
        <w:rPr>
          <w:rFonts w:ascii="Arial" w:hAnsi="Arial"/>
          <w:sz w:val="24"/>
          <w:lang w:val="pt-BR"/>
        </w:rPr>
        <w:t>3</w:t>
      </w:r>
    </w:p>
    <w:p w:rsidR="0037119B" w:rsidRPr="00492450" w:rsidRDefault="0037119B" w:rsidP="004F2CB8">
      <w:pPr>
        <w:tabs>
          <w:tab w:val="left" w:pos="1985"/>
        </w:tabs>
        <w:ind w:left="1980" w:hanging="1980"/>
        <w:rPr>
          <w:rStyle w:val="a4"/>
          <w:lang w:val="pt-BR"/>
        </w:rPr>
      </w:pPr>
      <w:r w:rsidRPr="00492450">
        <w:rPr>
          <w:rFonts w:ascii="Arial" w:hAnsi="Arial"/>
          <w:b/>
          <w:sz w:val="24"/>
          <w:lang w:val="pt-BR"/>
        </w:rPr>
        <w:t>Document for:</w:t>
      </w:r>
      <w:r w:rsidRPr="00492450">
        <w:rPr>
          <w:rFonts w:ascii="Arial" w:hAnsi="Arial"/>
          <w:sz w:val="24"/>
          <w:lang w:val="pt-BR"/>
        </w:rPr>
        <w:tab/>
      </w:r>
      <w:r w:rsidR="004E7AD8">
        <w:rPr>
          <w:rFonts w:ascii="Arial" w:hAnsi="Arial"/>
          <w:sz w:val="24"/>
          <w:lang w:val="pt-BR" w:eastAsia="zh-CN"/>
        </w:rPr>
        <w:t>Approval</w:t>
      </w:r>
    </w:p>
    <w:p w:rsidR="00DD5AE1" w:rsidRPr="00492450" w:rsidRDefault="00CD7DBF" w:rsidP="004F2CB8">
      <w:pPr>
        <w:pStyle w:val="Heading1"/>
        <w:rPr>
          <w:rFonts w:eastAsia="宋体"/>
          <w:lang w:eastAsia="zh-CN"/>
        </w:rPr>
      </w:pPr>
      <w:r>
        <w:rPr>
          <w:rFonts w:eastAsia="宋体" w:hint="eastAsia"/>
          <w:lang w:eastAsia="zh-CN"/>
        </w:rPr>
        <w:t>Introduction</w:t>
      </w:r>
    </w:p>
    <w:p w:rsidR="001E666D" w:rsidRDefault="001E666D" w:rsidP="000678DD">
      <w:pPr>
        <w:rPr>
          <w:lang w:val="en-US" w:eastAsia="zh-CN"/>
        </w:rPr>
      </w:pPr>
      <w:r>
        <w:rPr>
          <w:lang w:val="en-US" w:eastAsia="zh-CN"/>
        </w:rPr>
        <w:t>RANP #</w:t>
      </w:r>
      <w:r w:rsidR="00421DC9">
        <w:rPr>
          <w:lang w:val="en-US" w:eastAsia="zh-CN"/>
        </w:rPr>
        <w:t>8</w:t>
      </w:r>
      <w:r>
        <w:rPr>
          <w:lang w:val="en-US" w:eastAsia="zh-CN"/>
        </w:rPr>
        <w:t>9e meeting approved the WI for NR FR1 RF enhancement in Rel-17 [1], capturing the objectives of UE uplink switch enhancement to 2Tx – 2Tx switching under either SUL or UL CA band combinations. Those objectives are copied as in the below box.</w:t>
      </w:r>
    </w:p>
    <w:tbl>
      <w:tblPr>
        <w:tblStyle w:val="TableGrid"/>
        <w:tblW w:w="0" w:type="auto"/>
        <w:tblLook w:val="04A0" w:firstRow="1" w:lastRow="0" w:firstColumn="1" w:lastColumn="0" w:noHBand="0" w:noVBand="1"/>
      </w:tblPr>
      <w:tblGrid>
        <w:gridCol w:w="10457"/>
      </w:tblGrid>
      <w:tr w:rsidR="001E666D" w:rsidTr="001E666D">
        <w:tc>
          <w:tcPr>
            <w:tcW w:w="10457" w:type="dxa"/>
          </w:tcPr>
          <w:p w:rsidR="001E666D" w:rsidRPr="00DA478B" w:rsidRDefault="001E666D" w:rsidP="001E666D">
            <w:pPr>
              <w:numPr>
                <w:ilvl w:val="0"/>
                <w:numId w:val="32"/>
              </w:numPr>
              <w:adjustRightInd w:val="0"/>
              <w:spacing w:after="0"/>
              <w:rPr>
                <w:rFonts w:eastAsia="等线"/>
                <w:lang w:val="en-US" w:eastAsia="ja-JP"/>
              </w:rPr>
            </w:pPr>
            <w:r w:rsidRPr="00992082">
              <w:rPr>
                <w:rFonts w:eastAsia="等线"/>
                <w:b/>
                <w:highlight w:val="yellow"/>
                <w:lang w:val="en-US" w:eastAsia="ja-JP"/>
              </w:rPr>
              <w:t>2)</w:t>
            </w:r>
            <w:r w:rsidRPr="00992082">
              <w:rPr>
                <w:rFonts w:eastAsia="等线"/>
                <w:b/>
                <w:lang w:val="en-US" w:eastAsia="ja-JP"/>
              </w:rPr>
              <w:t xml:space="preserve"> </w:t>
            </w:r>
            <w:r w:rsidRPr="00DA478B">
              <w:rPr>
                <w:rFonts w:eastAsia="等线" w:hint="eastAsia"/>
                <w:lang w:val="en-US" w:eastAsia="zh-CN"/>
              </w:rPr>
              <w:t>S</w:t>
            </w:r>
            <w:r w:rsidRPr="00DA478B">
              <w:rPr>
                <w:rFonts w:eastAsia="等线"/>
                <w:lang w:val="en-US" w:eastAsia="zh-CN"/>
              </w:rPr>
              <w:t>pecify UE requirements to enab</w:t>
            </w:r>
            <w:r>
              <w:rPr>
                <w:rFonts w:eastAsia="等线"/>
                <w:lang w:val="en-US" w:eastAsia="zh-CN"/>
              </w:rPr>
              <w:t>le Tx switching between different cases across carriers</w:t>
            </w:r>
            <w:r w:rsidRPr="00DA478B">
              <w:rPr>
                <w:rFonts w:eastAsia="等线" w:hint="eastAsia"/>
                <w:lang w:val="en-US" w:eastAsia="zh-CN"/>
              </w:rPr>
              <w:t xml:space="preserve"> </w:t>
            </w:r>
            <w:r w:rsidRPr="00DA478B">
              <w:rPr>
                <w:rFonts w:eastAsia="等线"/>
                <w:lang w:val="en-US" w:eastAsia="zh-CN"/>
              </w:rPr>
              <w:t xml:space="preserve">based on SUL and NR </w:t>
            </w:r>
            <w:r>
              <w:rPr>
                <w:rFonts w:eastAsia="等线"/>
                <w:lang w:val="en-US" w:eastAsia="zh-CN"/>
              </w:rPr>
              <w:t xml:space="preserve">inter-band </w:t>
            </w:r>
            <w:r w:rsidRPr="00DA478B">
              <w:rPr>
                <w:rFonts w:eastAsia="等线"/>
                <w:lang w:val="en-US" w:eastAsia="zh-CN"/>
              </w:rPr>
              <w:t>uplink CA for UE supporting maximum two concurrent transmissions</w:t>
            </w:r>
          </w:p>
          <w:p w:rsidR="001E666D" w:rsidRPr="00DA478B" w:rsidRDefault="001E666D" w:rsidP="001E666D">
            <w:pPr>
              <w:numPr>
                <w:ilvl w:val="1"/>
                <w:numId w:val="33"/>
              </w:numPr>
              <w:adjustRightInd w:val="0"/>
              <w:spacing w:after="0"/>
              <w:ind w:left="1134" w:hanging="283"/>
              <w:rPr>
                <w:rFonts w:eastAsia="等线"/>
                <w:lang w:val="en-US" w:eastAsia="ja-JP"/>
              </w:rPr>
            </w:pPr>
            <w:r w:rsidRPr="00DA478B">
              <w:rPr>
                <w:rFonts w:eastAsia="等线"/>
                <w:lang w:val="en-US" w:eastAsia="ja-JP"/>
              </w:rPr>
              <w:t xml:space="preserve">Specify UE requirements to enable Tx switching </w:t>
            </w:r>
            <w:r>
              <w:rPr>
                <w:rFonts w:eastAsia="等线"/>
                <w:lang w:val="en-US" w:eastAsia="ja-JP"/>
              </w:rPr>
              <w:t>between cases</w:t>
            </w:r>
          </w:p>
          <w:p w:rsidR="001E666D" w:rsidRPr="00DA478B" w:rsidRDefault="001E666D" w:rsidP="001E666D">
            <w:pPr>
              <w:numPr>
                <w:ilvl w:val="2"/>
                <w:numId w:val="34"/>
              </w:numPr>
              <w:adjustRightInd w:val="0"/>
              <w:spacing w:after="0"/>
              <w:ind w:left="1843" w:hanging="425"/>
              <w:rPr>
                <w:rFonts w:eastAsia="等线"/>
                <w:lang w:val="en-US" w:eastAsia="zh-CN"/>
              </w:rPr>
            </w:pPr>
            <w:r w:rsidRPr="00DA478B">
              <w:rPr>
                <w:rFonts w:eastAsia="等线"/>
                <w:lang w:val="en-US" w:eastAsia="zh-CN"/>
              </w:rPr>
              <w:t>The scenarios include</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hint="eastAsia"/>
                <w:lang w:val="en-US" w:eastAsia="zh-CN"/>
              </w:rPr>
              <w:t>F</w:t>
            </w:r>
            <w:r w:rsidRPr="00DA478B">
              <w:rPr>
                <w:rFonts w:eastAsia="等线"/>
                <w:lang w:val="en-US" w:eastAsia="zh-CN"/>
              </w:rPr>
              <w:t xml:space="preserve">or </w:t>
            </w:r>
            <w:r>
              <w:rPr>
                <w:rFonts w:eastAsia="等线"/>
                <w:lang w:val="en-US" w:eastAsia="zh-CN"/>
              </w:rPr>
              <w:t xml:space="preserve">Tx switching based on </w:t>
            </w:r>
            <w:r w:rsidRPr="00DA478B">
              <w:rPr>
                <w:rFonts w:eastAsia="等线"/>
                <w:lang w:val="en-US" w:eastAsia="zh-CN"/>
              </w:rPr>
              <w:t>SUL</w:t>
            </w:r>
            <w:r>
              <w:rPr>
                <w:rFonts w:eastAsia="等线"/>
                <w:lang w:val="en-US" w:eastAsia="zh-CN"/>
              </w:rPr>
              <w:t xml:space="preserve"> band combination, or</w:t>
            </w:r>
            <w:r w:rsidRPr="00DA478B">
              <w:rPr>
                <w:rFonts w:eastAsia="等线" w:hint="eastAsia"/>
                <w:lang w:val="en-US" w:eastAsia="zh-CN"/>
              </w:rPr>
              <w:t xml:space="preserve"> </w:t>
            </w:r>
            <w:r w:rsidRPr="00DA478B">
              <w:rPr>
                <w:rFonts w:eastAsia="等线"/>
                <w:lang w:val="en-US" w:eastAsia="zh-CN"/>
              </w:rPr>
              <w:t xml:space="preserve">uplink </w:t>
            </w:r>
            <w:r w:rsidRPr="00DA478B">
              <w:rPr>
                <w:rFonts w:eastAsia="等线" w:hint="eastAsia"/>
                <w:lang w:val="en-US" w:eastAsia="zh-CN"/>
              </w:rPr>
              <w:t xml:space="preserve">CA </w:t>
            </w:r>
            <w:r>
              <w:rPr>
                <w:rFonts w:eastAsia="等线"/>
                <w:lang w:val="en-US" w:eastAsia="zh-CN"/>
              </w:rPr>
              <w:t xml:space="preserve">band combination </w:t>
            </w:r>
          </w:p>
          <w:tbl>
            <w:tblPr>
              <w:tblW w:w="5802" w:type="dxa"/>
              <w:jc w:val="center"/>
              <w:tblCellMar>
                <w:left w:w="0" w:type="dxa"/>
                <w:right w:w="0" w:type="dxa"/>
              </w:tblCellMar>
              <w:tblLook w:val="04A0" w:firstRow="1" w:lastRow="0" w:firstColumn="1" w:lastColumn="0" w:noHBand="0" w:noVBand="1"/>
            </w:tblPr>
            <w:tblGrid>
              <w:gridCol w:w="961"/>
              <w:gridCol w:w="4841"/>
            </w:tblGrid>
            <w:tr w:rsidR="001E666D" w:rsidRPr="00DA478B" w:rsidTr="006D5028">
              <w:trPr>
                <w:trHeight w:val="243"/>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666D" w:rsidRPr="00882CCF" w:rsidRDefault="001E666D" w:rsidP="001E666D">
                  <w:pPr>
                    <w:spacing w:after="0"/>
                    <w:jc w:val="center"/>
                    <w:rPr>
                      <w:bCs/>
                      <w:sz w:val="18"/>
                      <w:szCs w:val="18"/>
                    </w:rPr>
                  </w:pPr>
                </w:p>
              </w:tc>
              <w:tc>
                <w:tcPr>
                  <w:tcW w:w="484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1E666D" w:rsidRPr="00882CCF" w:rsidRDefault="001E666D" w:rsidP="001E666D">
                  <w:pPr>
                    <w:spacing w:after="0"/>
                    <w:jc w:val="center"/>
                    <w:rPr>
                      <w:b/>
                      <w:bCs/>
                      <w:sz w:val="18"/>
                      <w:szCs w:val="18"/>
                    </w:rPr>
                  </w:pPr>
                  <w:r w:rsidRPr="00882CCF">
                    <w:rPr>
                      <w:b/>
                      <w:bCs/>
                      <w:sz w:val="18"/>
                      <w:szCs w:val="18"/>
                    </w:rPr>
                    <w:t>Number of Tx chains in WID (carrier 1 + carrier 2)</w:t>
                  </w:r>
                </w:p>
              </w:tc>
            </w:tr>
            <w:tr w:rsidR="001E666D" w:rsidRPr="00DA478B" w:rsidTr="006D5028">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666D" w:rsidRPr="00882CCF" w:rsidRDefault="001E666D" w:rsidP="001E666D">
                  <w:pPr>
                    <w:spacing w:after="0"/>
                    <w:jc w:val="center"/>
                    <w:rPr>
                      <w:bCs/>
                      <w:sz w:val="18"/>
                      <w:szCs w:val="18"/>
                      <w:lang w:eastAsia="zh-CN"/>
                    </w:rPr>
                  </w:pPr>
                  <w:r w:rsidRPr="00882CCF">
                    <w:rPr>
                      <w:bCs/>
                      <w:sz w:val="18"/>
                      <w:szCs w:val="18"/>
                      <w:lang w:eastAsia="zh-CN"/>
                    </w:rPr>
                    <w:t xml:space="preserve">Case </w:t>
                  </w:r>
                  <w:r>
                    <w:rPr>
                      <w:bCs/>
                      <w:sz w:val="18"/>
                      <w:szCs w:val="18"/>
                      <w:lang w:eastAsia="zh-CN"/>
                    </w:rPr>
                    <w:t>2</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1E666D" w:rsidRPr="00882CCF" w:rsidRDefault="001E666D" w:rsidP="001E666D">
                  <w:pPr>
                    <w:spacing w:after="0"/>
                    <w:jc w:val="center"/>
                    <w:rPr>
                      <w:bCs/>
                      <w:sz w:val="18"/>
                      <w:szCs w:val="18"/>
                      <w:lang w:eastAsia="zh-CN"/>
                    </w:rPr>
                  </w:pPr>
                  <w:r w:rsidRPr="00882CCF">
                    <w:rPr>
                      <w:bCs/>
                      <w:sz w:val="18"/>
                      <w:szCs w:val="18"/>
                      <w:lang w:eastAsia="zh-CN"/>
                    </w:rPr>
                    <w:t>0T+2T</w:t>
                  </w:r>
                </w:p>
              </w:tc>
            </w:tr>
            <w:tr w:rsidR="001E666D" w:rsidRPr="00DA478B" w:rsidTr="006D5028">
              <w:trPr>
                <w:trHeight w:val="230"/>
                <w:jc w:val="center"/>
              </w:trPr>
              <w:tc>
                <w:tcPr>
                  <w:tcW w:w="9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lang w:eastAsia="zh-CN"/>
                    </w:rPr>
                  </w:pPr>
                  <w:r w:rsidRPr="00882CCF">
                    <w:rPr>
                      <w:bCs/>
                      <w:sz w:val="18"/>
                      <w:szCs w:val="18"/>
                      <w:lang w:eastAsia="zh-CN"/>
                    </w:rPr>
                    <w:t xml:space="preserve">Case </w:t>
                  </w:r>
                  <w:r>
                    <w:rPr>
                      <w:bCs/>
                      <w:sz w:val="18"/>
                      <w:szCs w:val="18"/>
                      <w:lang w:eastAsia="zh-CN"/>
                    </w:rPr>
                    <w:t>3</w:t>
                  </w:r>
                </w:p>
              </w:tc>
              <w:tc>
                <w:tcPr>
                  <w:tcW w:w="484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lang w:eastAsia="zh-CN"/>
                    </w:rPr>
                  </w:pPr>
                  <w:r w:rsidRPr="00882CCF">
                    <w:rPr>
                      <w:bCs/>
                      <w:color w:val="000000"/>
                      <w:sz w:val="18"/>
                      <w:szCs w:val="18"/>
                      <w:lang w:eastAsia="zh-CN"/>
                    </w:rPr>
                    <w:t>2T+0T</w:t>
                  </w:r>
                </w:p>
              </w:tc>
            </w:tr>
          </w:tbl>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hint="eastAsia"/>
                <w:lang w:val="en-US" w:eastAsia="zh-CN"/>
              </w:rPr>
              <w:t>F</w:t>
            </w:r>
            <w:r w:rsidRPr="00DA478B">
              <w:rPr>
                <w:rFonts w:eastAsia="等线"/>
                <w:lang w:val="en-US" w:eastAsia="zh-CN"/>
              </w:rPr>
              <w:t xml:space="preserve">or Tx switching </w:t>
            </w:r>
            <w:r>
              <w:rPr>
                <w:rFonts w:eastAsia="等线"/>
                <w:lang w:val="en-US" w:eastAsia="zh-CN"/>
              </w:rPr>
              <w:t>based on uplink CA band combination</w:t>
            </w:r>
          </w:p>
          <w:tbl>
            <w:tblPr>
              <w:tblW w:w="5812" w:type="dxa"/>
              <w:jc w:val="center"/>
              <w:tblCellMar>
                <w:left w:w="0" w:type="dxa"/>
                <w:right w:w="0" w:type="dxa"/>
              </w:tblCellMar>
              <w:tblLook w:val="04A0" w:firstRow="1" w:lastRow="0" w:firstColumn="1" w:lastColumn="0" w:noHBand="0" w:noVBand="1"/>
            </w:tblPr>
            <w:tblGrid>
              <w:gridCol w:w="983"/>
              <w:gridCol w:w="4829"/>
            </w:tblGrid>
            <w:tr w:rsidR="001E666D" w:rsidRPr="00DA478B" w:rsidTr="006D502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rPr>
                  </w:pP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
                      <w:bCs/>
                      <w:sz w:val="18"/>
                      <w:szCs w:val="18"/>
                    </w:rPr>
                  </w:pPr>
                  <w:r w:rsidRPr="00882CCF">
                    <w:rPr>
                      <w:b/>
                      <w:bCs/>
                      <w:sz w:val="18"/>
                      <w:szCs w:val="18"/>
                    </w:rPr>
                    <w:t>Number of Tx chains in WID (carrier 1 + carrier 2)</w:t>
                  </w:r>
                </w:p>
              </w:tc>
            </w:tr>
            <w:tr w:rsidR="001E666D" w:rsidRPr="00DA478B" w:rsidTr="006D502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lang w:eastAsia="zh-CN"/>
                    </w:rPr>
                  </w:pPr>
                  <w:r w:rsidRPr="00882CCF">
                    <w:rPr>
                      <w:bCs/>
                      <w:sz w:val="18"/>
                      <w:szCs w:val="18"/>
                    </w:rPr>
                    <w:t xml:space="preserve">Case </w:t>
                  </w:r>
                  <w:r w:rsidRPr="00882CCF">
                    <w:rPr>
                      <w:rFonts w:hint="eastAsia"/>
                      <w:bCs/>
                      <w:sz w:val="18"/>
                      <w:szCs w:val="18"/>
                      <w:lang w:eastAsia="zh-CN"/>
                    </w:rPr>
                    <w:t>1</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widowControl w:val="0"/>
                    <w:spacing w:after="0"/>
                    <w:ind w:right="28"/>
                    <w:jc w:val="center"/>
                    <w:rPr>
                      <w:bCs/>
                      <w:sz w:val="18"/>
                      <w:szCs w:val="18"/>
                    </w:rPr>
                  </w:pPr>
                  <w:r>
                    <w:rPr>
                      <w:bCs/>
                      <w:sz w:val="18"/>
                      <w:szCs w:val="18"/>
                    </w:rPr>
                    <w:t>1</w:t>
                  </w:r>
                  <w:r w:rsidRPr="00882CCF">
                    <w:rPr>
                      <w:bCs/>
                      <w:sz w:val="18"/>
                      <w:szCs w:val="18"/>
                    </w:rPr>
                    <w:t>T+</w:t>
                  </w:r>
                  <w:r>
                    <w:rPr>
                      <w:bCs/>
                      <w:sz w:val="18"/>
                      <w:szCs w:val="18"/>
                    </w:rPr>
                    <w:t>1</w:t>
                  </w:r>
                  <w:r w:rsidRPr="00882CCF">
                    <w:rPr>
                      <w:bCs/>
                      <w:sz w:val="18"/>
                      <w:szCs w:val="18"/>
                    </w:rPr>
                    <w:t>T</w:t>
                  </w:r>
                </w:p>
              </w:tc>
            </w:tr>
            <w:tr w:rsidR="001E666D" w:rsidRPr="00DA478B" w:rsidTr="006D502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lang w:eastAsia="zh-CN"/>
                    </w:rPr>
                  </w:pPr>
                  <w:r w:rsidRPr="00882CCF">
                    <w:rPr>
                      <w:bCs/>
                      <w:sz w:val="18"/>
                      <w:szCs w:val="18"/>
                    </w:rPr>
                    <w:t xml:space="preserve">Case </w:t>
                  </w:r>
                  <w:r w:rsidRPr="00882CCF">
                    <w:rPr>
                      <w:rFonts w:hint="eastAsia"/>
                      <w:bCs/>
                      <w:sz w:val="18"/>
                      <w:szCs w:val="18"/>
                      <w:lang w:eastAsia="zh-CN"/>
                    </w:rPr>
                    <w:t>2</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widowControl w:val="0"/>
                    <w:spacing w:after="0"/>
                    <w:ind w:right="28"/>
                    <w:jc w:val="center"/>
                    <w:rPr>
                      <w:bCs/>
                      <w:sz w:val="18"/>
                      <w:szCs w:val="18"/>
                    </w:rPr>
                  </w:pPr>
                  <w:r>
                    <w:rPr>
                      <w:bCs/>
                      <w:sz w:val="18"/>
                      <w:szCs w:val="18"/>
                    </w:rPr>
                    <w:t>0</w:t>
                  </w:r>
                  <w:r w:rsidRPr="00882CCF">
                    <w:rPr>
                      <w:bCs/>
                      <w:sz w:val="18"/>
                      <w:szCs w:val="18"/>
                    </w:rPr>
                    <w:t>T+</w:t>
                  </w:r>
                  <w:r>
                    <w:rPr>
                      <w:bCs/>
                      <w:sz w:val="18"/>
                      <w:szCs w:val="18"/>
                    </w:rPr>
                    <w:t>2</w:t>
                  </w:r>
                  <w:r w:rsidRPr="00882CCF">
                    <w:rPr>
                      <w:bCs/>
                      <w:sz w:val="18"/>
                      <w:szCs w:val="18"/>
                    </w:rPr>
                    <w:t>T</w:t>
                  </w:r>
                </w:p>
              </w:tc>
            </w:tr>
            <w:tr w:rsidR="001E666D" w:rsidRPr="00DA478B" w:rsidTr="006D5028">
              <w:trPr>
                <w:trHeight w:val="243"/>
                <w:jc w:val="center"/>
              </w:trPr>
              <w:tc>
                <w:tcPr>
                  <w:tcW w:w="9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spacing w:after="0"/>
                    <w:jc w:val="center"/>
                    <w:rPr>
                      <w:bCs/>
                      <w:sz w:val="18"/>
                      <w:szCs w:val="18"/>
                      <w:lang w:eastAsia="zh-CN"/>
                    </w:rPr>
                  </w:pPr>
                  <w:r w:rsidRPr="00882CCF">
                    <w:rPr>
                      <w:bCs/>
                      <w:sz w:val="18"/>
                      <w:szCs w:val="18"/>
                    </w:rPr>
                    <w:t xml:space="preserve">Case </w:t>
                  </w:r>
                  <w:r w:rsidRPr="00882CCF">
                    <w:rPr>
                      <w:rFonts w:hint="eastAsia"/>
                      <w:bCs/>
                      <w:sz w:val="18"/>
                      <w:szCs w:val="18"/>
                      <w:lang w:eastAsia="zh-CN"/>
                    </w:rPr>
                    <w:t>3</w:t>
                  </w:r>
                </w:p>
              </w:tc>
              <w:tc>
                <w:tcPr>
                  <w:tcW w:w="482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E666D" w:rsidRPr="00882CCF" w:rsidRDefault="001E666D" w:rsidP="001E666D">
                  <w:pPr>
                    <w:widowControl w:val="0"/>
                    <w:spacing w:after="0"/>
                    <w:ind w:right="28"/>
                    <w:jc w:val="center"/>
                    <w:rPr>
                      <w:bCs/>
                      <w:sz w:val="18"/>
                      <w:szCs w:val="18"/>
                    </w:rPr>
                  </w:pPr>
                  <w:r>
                    <w:rPr>
                      <w:bCs/>
                      <w:sz w:val="18"/>
                      <w:szCs w:val="18"/>
                    </w:rPr>
                    <w:t>2</w:t>
                  </w:r>
                  <w:r w:rsidRPr="00882CCF">
                    <w:rPr>
                      <w:bCs/>
                      <w:sz w:val="18"/>
                      <w:szCs w:val="18"/>
                    </w:rPr>
                    <w:t>T+</w:t>
                  </w:r>
                  <w:r>
                    <w:rPr>
                      <w:bCs/>
                      <w:sz w:val="18"/>
                      <w:szCs w:val="18"/>
                    </w:rPr>
                    <w:t>0</w:t>
                  </w:r>
                  <w:r w:rsidRPr="00882CCF">
                    <w:rPr>
                      <w:bCs/>
                      <w:sz w:val="18"/>
                      <w:szCs w:val="18"/>
                    </w:rPr>
                    <w:t>T</w:t>
                  </w:r>
                </w:p>
              </w:tc>
            </w:tr>
          </w:tbl>
          <w:p w:rsidR="001E666D" w:rsidRPr="00DA478B" w:rsidRDefault="001E666D" w:rsidP="001E666D">
            <w:pPr>
              <w:numPr>
                <w:ilvl w:val="2"/>
                <w:numId w:val="34"/>
              </w:numPr>
              <w:adjustRightInd w:val="0"/>
              <w:spacing w:after="0"/>
              <w:ind w:left="1843" w:hanging="425"/>
              <w:rPr>
                <w:rFonts w:eastAsia="等线"/>
                <w:lang w:val="en-US" w:eastAsia="zh-CN"/>
              </w:rPr>
            </w:pPr>
            <w:r w:rsidRPr="00DA478B">
              <w:rPr>
                <w:rFonts w:eastAsia="等线"/>
                <w:lang w:val="en-US" w:eastAsia="zh-CN"/>
              </w:rPr>
              <w:t xml:space="preserve">Specify </w:t>
            </w:r>
            <w:r>
              <w:rPr>
                <w:rFonts w:eastAsia="等线"/>
                <w:lang w:val="en-US" w:eastAsia="zh-CN"/>
              </w:rPr>
              <w:t xml:space="preserve">the following </w:t>
            </w:r>
            <w:r w:rsidRPr="00DA478B">
              <w:rPr>
                <w:rFonts w:eastAsia="等线"/>
                <w:lang w:val="en-US" w:eastAsia="zh-CN"/>
              </w:rPr>
              <w:t>RAN4 requirement</w:t>
            </w:r>
            <w:r>
              <w:rPr>
                <w:rFonts w:eastAsia="等线"/>
                <w:lang w:val="en-US" w:eastAsia="zh-CN"/>
              </w:rPr>
              <w:t>s for above scenarios</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lang w:val="en-US" w:eastAsia="zh-CN"/>
              </w:rPr>
              <w:t>Length of switching period</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hint="eastAsia"/>
                <w:lang w:val="en-US" w:eastAsia="zh-CN"/>
              </w:rPr>
              <w:t>T</w:t>
            </w:r>
            <w:r w:rsidRPr="00DA478B">
              <w:rPr>
                <w:rFonts w:eastAsia="等线"/>
                <w:lang w:val="en-US" w:eastAsia="zh-CN"/>
              </w:rPr>
              <w:t>ime mask RF requirements</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lang w:val="en-US" w:eastAsia="zh-CN"/>
              </w:rPr>
              <w:t>Uplink interruption and downlink interruption (RRM) requirements, if needed</w:t>
            </w:r>
          </w:p>
          <w:p w:rsidR="001E666D" w:rsidRPr="00DA478B" w:rsidRDefault="001E666D" w:rsidP="001E666D">
            <w:pPr>
              <w:numPr>
                <w:ilvl w:val="2"/>
                <w:numId w:val="34"/>
              </w:numPr>
              <w:adjustRightInd w:val="0"/>
              <w:spacing w:after="0"/>
              <w:ind w:left="1843" w:hanging="425"/>
              <w:rPr>
                <w:rFonts w:eastAsia="等线"/>
                <w:lang w:val="en-US" w:eastAsia="ja-JP"/>
              </w:rPr>
            </w:pPr>
            <w:r w:rsidRPr="00DA478B">
              <w:rPr>
                <w:rFonts w:eastAsia="等线"/>
                <w:lang w:val="en-US" w:eastAsia="ja-JP"/>
              </w:rPr>
              <w:t>Minimize the impacts on RAN1</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lang w:val="en-US" w:eastAsia="zh-CN"/>
              </w:rPr>
              <w:t xml:space="preserve">Update RAN1 uplink switching for carrier aggregation and supplementary uplink </w:t>
            </w:r>
          </w:p>
          <w:p w:rsidR="001E666D" w:rsidRPr="00DA478B" w:rsidRDefault="001E666D" w:rsidP="001E666D">
            <w:pPr>
              <w:numPr>
                <w:ilvl w:val="2"/>
                <w:numId w:val="34"/>
              </w:numPr>
              <w:adjustRightInd w:val="0"/>
              <w:spacing w:after="0"/>
              <w:ind w:left="1843" w:hanging="425"/>
              <w:rPr>
                <w:rFonts w:eastAsia="等线"/>
                <w:lang w:val="en-US" w:eastAsia="ja-JP"/>
              </w:rPr>
            </w:pPr>
            <w:r w:rsidRPr="00DA478B">
              <w:rPr>
                <w:rFonts w:eastAsia="等线"/>
                <w:lang w:val="en-US" w:eastAsia="ja-JP"/>
              </w:rPr>
              <w:t>Minimize the impacts on RAN2</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lang w:val="en-US" w:eastAsia="zh-CN"/>
              </w:rPr>
              <w:t>Update the RRC signaling to indicate the switchi</w:t>
            </w:r>
            <w:r>
              <w:rPr>
                <w:rFonts w:eastAsia="等线"/>
                <w:lang w:val="en-US" w:eastAsia="zh-CN"/>
              </w:rPr>
              <w:t xml:space="preserve">ng period location and </w:t>
            </w:r>
            <w:r w:rsidRPr="00DA478B">
              <w:rPr>
                <w:rFonts w:eastAsia="等线"/>
                <w:lang w:val="en-US" w:eastAsia="zh-CN"/>
              </w:rPr>
              <w:t>length</w:t>
            </w:r>
          </w:p>
          <w:p w:rsidR="001E666D" w:rsidRPr="00DA478B" w:rsidRDefault="001E666D" w:rsidP="001E666D">
            <w:pPr>
              <w:numPr>
                <w:ilvl w:val="3"/>
                <w:numId w:val="34"/>
              </w:numPr>
              <w:adjustRightInd w:val="0"/>
              <w:spacing w:after="0"/>
              <w:ind w:left="2268"/>
              <w:rPr>
                <w:rFonts w:eastAsia="等线"/>
                <w:lang w:val="en-US" w:eastAsia="zh-CN"/>
              </w:rPr>
            </w:pPr>
            <w:r w:rsidRPr="00DA478B">
              <w:rPr>
                <w:rFonts w:eastAsia="等线"/>
                <w:lang w:val="en-US" w:eastAsia="zh-CN"/>
              </w:rPr>
              <w:t>Update the UE capabilities</w:t>
            </w:r>
          </w:p>
          <w:p w:rsidR="00175FAC" w:rsidRPr="00DA478B" w:rsidRDefault="00175FAC" w:rsidP="00175FAC">
            <w:pPr>
              <w:spacing w:after="0"/>
              <w:ind w:leftChars="283" w:left="566"/>
              <w:rPr>
                <w:rFonts w:eastAsia="等线"/>
                <w:lang w:val="en-US" w:eastAsia="ja-JP"/>
              </w:rPr>
            </w:pPr>
            <w:r w:rsidRPr="00DA478B">
              <w:rPr>
                <w:rFonts w:eastAsia="等线"/>
                <w:lang w:val="en-US" w:eastAsia="ja-JP"/>
              </w:rPr>
              <w:t>Note 1:  Only addressing the case of co-located and synchronized network deployment for the two UL carriers.</w:t>
            </w:r>
          </w:p>
          <w:p w:rsidR="00175FAC" w:rsidRPr="00DA478B" w:rsidRDefault="00175FAC" w:rsidP="00175FAC">
            <w:pPr>
              <w:spacing w:after="0"/>
              <w:ind w:leftChars="283" w:left="566"/>
              <w:rPr>
                <w:rFonts w:eastAsia="等线"/>
                <w:lang w:val="en-US" w:eastAsia="ja-JP"/>
              </w:rPr>
            </w:pPr>
            <w:r w:rsidRPr="00DA478B">
              <w:rPr>
                <w:rFonts w:eastAsia="等线"/>
                <w:lang w:val="en-US" w:eastAsia="ja-JP"/>
              </w:rPr>
              <w:t>Note 2:  Only addressing the case of single TAG for the two UL carriers for SUL and for UL CA.</w:t>
            </w:r>
          </w:p>
          <w:p w:rsidR="00175FAC" w:rsidRPr="00882CCF" w:rsidRDefault="00175FAC" w:rsidP="00175FAC">
            <w:pPr>
              <w:spacing w:after="0"/>
              <w:ind w:leftChars="283" w:left="566"/>
              <w:rPr>
                <w:rFonts w:eastAsia="等线"/>
                <w:lang w:val="en-US" w:eastAsia="ja-JP"/>
              </w:rPr>
            </w:pPr>
            <w:r w:rsidRPr="00DA478B">
              <w:rPr>
                <w:rFonts w:eastAsia="等线"/>
                <w:lang w:val="en-US" w:eastAsia="ja-JP"/>
              </w:rPr>
              <w:t>Note 3:  The UE is configured with two different uplink carrier frequencies.</w:t>
            </w:r>
          </w:p>
          <w:p w:rsidR="001E666D" w:rsidRDefault="001E666D" w:rsidP="000678DD">
            <w:pPr>
              <w:rPr>
                <w:lang w:val="en-US" w:eastAsia="zh-CN"/>
              </w:rPr>
            </w:pPr>
          </w:p>
        </w:tc>
      </w:tr>
    </w:tbl>
    <w:p w:rsidR="00B064EB" w:rsidRDefault="001E666D" w:rsidP="00B064EB">
      <w:pPr>
        <w:spacing w:before="120"/>
        <w:rPr>
          <w:lang w:eastAsia="zh-CN"/>
        </w:rPr>
      </w:pPr>
      <w:r>
        <w:rPr>
          <w:lang w:val="en-US" w:eastAsia="zh-CN"/>
        </w:rPr>
        <w:t>According to the WID objectives, RAN4</w:t>
      </w:r>
      <w:r w:rsidR="00B064EB">
        <w:rPr>
          <w:lang w:val="en-US" w:eastAsia="zh-CN"/>
        </w:rPr>
        <w:t xml:space="preserve"> discussed both scenarios in last meeting, and most points are concluded in the agreed WF in [2]. The main remaining issue is on </w:t>
      </w:r>
      <w:r w:rsidR="00B064EB" w:rsidRPr="00B064EB">
        <w:rPr>
          <w:lang w:val="en-US" w:eastAsia="zh-CN"/>
        </w:rPr>
        <w:t>2-layer MIMO support</w:t>
      </w:r>
      <w:r w:rsidR="00B064EB">
        <w:rPr>
          <w:lang w:val="en-US" w:eastAsia="zh-CN"/>
        </w:rPr>
        <w:t xml:space="preserve"> on </w:t>
      </w:r>
      <w:r w:rsidR="00B064EB" w:rsidRPr="00B064EB">
        <w:rPr>
          <w:lang w:eastAsia="zh-CN"/>
        </w:rPr>
        <w:t>1Tx-2Tx and 2Tx-2Tx switching between band A and band B</w:t>
      </w:r>
      <w:r w:rsidR="00B064EB">
        <w:rPr>
          <w:lang w:eastAsia="zh-CN"/>
        </w:rPr>
        <w:t xml:space="preserve">. </w:t>
      </w:r>
    </w:p>
    <w:p w:rsidR="00040A4B" w:rsidRDefault="00B064EB" w:rsidP="00B064EB">
      <w:pPr>
        <w:spacing w:before="120"/>
        <w:rPr>
          <w:lang w:val="en-US" w:eastAsia="zh-CN"/>
        </w:rPr>
      </w:pPr>
      <w:r>
        <w:rPr>
          <w:lang w:eastAsia="zh-CN"/>
        </w:rPr>
        <w:t xml:space="preserve">This contribution firstly analyse the UE architecture, and provide proposal for 2-layer MIMO support issue based on both implementation and performance perspective. </w:t>
      </w:r>
    </w:p>
    <w:p w:rsidR="009B2924" w:rsidRDefault="009B2924" w:rsidP="000678DD">
      <w:pPr>
        <w:rPr>
          <w:lang w:val="en-US" w:eastAsia="zh-CN"/>
        </w:rPr>
      </w:pPr>
      <w:r>
        <w:rPr>
          <w:lang w:val="en-US" w:eastAsia="zh-CN"/>
        </w:rPr>
        <w:t>It is worth noting that the proposals and discussions in this paper apply both to SUL and UL CA band combinations.</w:t>
      </w:r>
    </w:p>
    <w:p w:rsidR="00040A4B" w:rsidRDefault="00040A4B" w:rsidP="002A4079">
      <w:pPr>
        <w:pStyle w:val="Heading1"/>
        <w:rPr>
          <w:rFonts w:eastAsia="宋体"/>
          <w:lang w:eastAsia="zh-CN"/>
        </w:rPr>
      </w:pPr>
      <w:bookmarkStart w:id="2" w:name="OLE_LINK1"/>
      <w:bookmarkStart w:id="3" w:name="OLE_LINK2"/>
      <w:r>
        <w:rPr>
          <w:rFonts w:eastAsia="宋体"/>
          <w:lang w:eastAsia="zh-CN"/>
        </w:rPr>
        <w:t>Discussion</w:t>
      </w:r>
    </w:p>
    <w:bookmarkEnd w:id="0"/>
    <w:bookmarkEnd w:id="2"/>
    <w:bookmarkEnd w:id="3"/>
    <w:p w:rsidR="00175FAC" w:rsidRDefault="00175FAC" w:rsidP="00CA4B90">
      <w:pPr>
        <w:rPr>
          <w:lang w:val="en-US" w:eastAsia="zh-CN"/>
        </w:rPr>
      </w:pPr>
      <w:r>
        <w:rPr>
          <w:lang w:val="en-US" w:eastAsia="zh-CN"/>
        </w:rPr>
        <w:t xml:space="preserve">In Rel-16 the mechanism and RAN4 requirements were specified for UE Tx switching between case 1 and case 2. The motivation was to select the better uplink carrier and better transmission mode in a given slot for transmission assuming that there are only two con-current Tx-s. In Rel-16 it was assumed that only one transmitter can be supported on one carrier and two transmitters can be supported on the other carrier. As recently two transmitters are enabled for more NR bands, it is possible for UE to support two Tx-s on both carriers. In this case, the Tx switching would be conducted between two carriers on which the UE is both capable of </w:t>
      </w:r>
      <w:r>
        <w:rPr>
          <w:lang w:val="en-US" w:eastAsia="zh-CN"/>
        </w:rPr>
        <w:lastRenderedPageBreak/>
        <w:t>2Tx transmissions. The uplink throughput is further improved.</w:t>
      </w:r>
      <w:r w:rsidRPr="007B4DDA">
        <w:rPr>
          <w:lang w:val="en-US" w:eastAsia="zh-CN"/>
        </w:rPr>
        <w:t xml:space="preserve"> </w:t>
      </w:r>
      <w:r>
        <w:rPr>
          <w:lang w:val="en-US" w:eastAsia="zh-CN"/>
        </w:rPr>
        <w:t xml:space="preserve">In the meanwhile, UL-MIMO requirements for interested SUL/TDD/FDD bands are to be further specified to enable UE 2Tx transmissions on both carriers when configured switching with SUL or UL-CA band combinations. </w:t>
      </w:r>
    </w:p>
    <w:p w:rsidR="00040A4B" w:rsidRDefault="00040A4B" w:rsidP="00CA4B90">
      <w:pPr>
        <w:rPr>
          <w:lang w:val="en-US" w:eastAsia="zh-CN"/>
        </w:rPr>
      </w:pPr>
      <w:r>
        <w:rPr>
          <w:lang w:val="en-US" w:eastAsia="zh-CN"/>
        </w:rPr>
        <w:t>In the below figure, it is illustrated that the concept of UE uplink switching between 2Tx carrier and 2Tx carrier. With the switching periods defined in the specifications, the UE is allowed to switch its uplinks between carriers and schedule 2Tx transmissions on both carriers. Either UL MIMO or UL Tx diversity benefits a lot system performance in respective scenarios.</w:t>
      </w:r>
    </w:p>
    <w:p w:rsidR="00175FAC" w:rsidRDefault="00175FAC" w:rsidP="00175FAC">
      <w:pPr>
        <w:jc w:val="center"/>
        <w:rPr>
          <w:lang w:val="en-US" w:eastAsia="zh-CN"/>
        </w:rPr>
      </w:pPr>
      <w:r w:rsidRPr="00175FAC">
        <w:rPr>
          <w:noProof/>
          <w:lang w:val="en-US" w:eastAsia="zh-CN"/>
        </w:rPr>
        <w:drawing>
          <wp:inline distT="0" distB="0" distL="0" distR="0">
            <wp:extent cx="5524500" cy="1368043"/>
            <wp:effectExtent l="0" t="0" r="0" b="3810"/>
            <wp:docPr id="1" name="Picture 1" descr="C:\Users\z00428339\Desktop\Picture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00428339\Desktop\Picture3.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554231" cy="1375405"/>
                    </a:xfrm>
                    <a:prstGeom prst="rect">
                      <a:avLst/>
                    </a:prstGeom>
                    <a:noFill/>
                    <a:ln>
                      <a:noFill/>
                    </a:ln>
                  </pic:spPr>
                </pic:pic>
              </a:graphicData>
            </a:graphic>
          </wp:inline>
        </w:drawing>
      </w:r>
    </w:p>
    <w:p w:rsidR="00175FAC" w:rsidRPr="00411062" w:rsidRDefault="00175FAC" w:rsidP="00175FAC">
      <w:pPr>
        <w:pStyle w:val="Caption"/>
        <w:spacing w:after="360"/>
        <w:jc w:val="center"/>
      </w:pPr>
      <w:r w:rsidRPr="00411062">
        <w:t>Figure 1</w:t>
      </w:r>
      <w:r>
        <w:t>: Concept of uplink switching between 2</w:t>
      </w:r>
      <w:r w:rsidRPr="00411062">
        <w:t>Tx carrier and 2Tx carrier</w:t>
      </w:r>
    </w:p>
    <w:p w:rsidR="00175FAC" w:rsidRDefault="00175FAC" w:rsidP="00CA4B90">
      <w:pPr>
        <w:rPr>
          <w:lang w:val="en-US" w:eastAsia="zh-CN"/>
        </w:rPr>
      </w:pPr>
      <w:r>
        <w:rPr>
          <w:lang w:val="en-US" w:eastAsia="zh-CN"/>
        </w:rPr>
        <w:t>In Rel-16, we identified already that the switching period highly depends on the UE architecture. Thus it is necessary to have a clear understanding about the typical UE architecture when we consider to introduce 2Tx – 2Tx Tx switching. In the below figure, we provide an example of UE implementation</w:t>
      </w:r>
      <w:r w:rsidR="00C05119">
        <w:rPr>
          <w:lang w:val="en-US" w:eastAsia="zh-CN"/>
        </w:rPr>
        <w:t xml:space="preserve"> with 2Tx architecture serving as a reference assumption. Note that one of the typical band combination in China is considered in the illustration.</w:t>
      </w:r>
    </w:p>
    <w:p w:rsidR="00C05119" w:rsidRDefault="00C05119" w:rsidP="00C05119">
      <w:pPr>
        <w:jc w:val="center"/>
        <w:rPr>
          <w:lang w:val="en-US" w:eastAsia="zh-CN"/>
        </w:rPr>
      </w:pPr>
      <w:r w:rsidRPr="007B4DDA">
        <w:rPr>
          <w:noProof/>
          <w:lang w:val="en-US" w:eastAsia="zh-CN"/>
        </w:rPr>
        <w:drawing>
          <wp:inline distT="0" distB="0" distL="0" distR="0">
            <wp:extent cx="3670300" cy="2527300"/>
            <wp:effectExtent l="0" t="0" r="635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70300" cy="2527300"/>
                    </a:xfrm>
                    <a:prstGeom prst="rect">
                      <a:avLst/>
                    </a:prstGeom>
                    <a:noFill/>
                    <a:ln>
                      <a:noFill/>
                    </a:ln>
                  </pic:spPr>
                </pic:pic>
              </a:graphicData>
            </a:graphic>
          </wp:inline>
        </w:drawing>
      </w:r>
    </w:p>
    <w:p w:rsidR="00C05119" w:rsidRPr="00411062" w:rsidRDefault="00C05119" w:rsidP="00C05119">
      <w:pPr>
        <w:pStyle w:val="Caption"/>
        <w:spacing w:after="360"/>
        <w:jc w:val="center"/>
      </w:pPr>
      <w:r w:rsidRPr="00411062">
        <w:t xml:space="preserve">Figure </w:t>
      </w:r>
      <w:r>
        <w:t>2: Reference UE architecture with 2Tx for UL Tx switch between 2Tx carriers</w:t>
      </w:r>
    </w:p>
    <w:p w:rsidR="00C05119" w:rsidRDefault="00C05119" w:rsidP="00175FAC">
      <w:pPr>
        <w:rPr>
          <w:lang w:val="en-US" w:eastAsia="zh-CN"/>
        </w:rPr>
      </w:pPr>
      <w:r>
        <w:rPr>
          <w:lang w:val="en-US" w:eastAsia="zh-CN"/>
        </w:rPr>
        <w:t xml:space="preserve">There is also another possible architecture for certain cases that involves more parts than the above one. Chances are that high end UE may pursue shorter switching times in cost of having more planned resources. The below figure gives a glance of such kind of design and note that though </w:t>
      </w:r>
      <w:r w:rsidR="00321233">
        <w:rPr>
          <w:lang w:val="en-US" w:eastAsia="zh-CN"/>
        </w:rPr>
        <w:t>more</w:t>
      </w:r>
      <w:r>
        <w:rPr>
          <w:lang w:val="en-US" w:eastAsia="zh-CN"/>
        </w:rPr>
        <w:t xml:space="preserve"> parallel RF resources are planned but there are at most 2 con-current ones operating at the same time.</w:t>
      </w:r>
    </w:p>
    <w:p w:rsidR="00C05119" w:rsidRDefault="00C05119" w:rsidP="00C05119">
      <w:pPr>
        <w:jc w:val="center"/>
        <w:rPr>
          <w:lang w:val="en-US" w:eastAsia="zh-CN"/>
        </w:rPr>
      </w:pPr>
      <w:r>
        <w:rPr>
          <w:noProof/>
          <w:lang w:val="en-US" w:eastAsia="zh-CN"/>
        </w:rPr>
        <w:drawing>
          <wp:inline distT="0" distB="0" distL="0" distR="0" wp14:anchorId="6FAF3F22">
            <wp:extent cx="3509645" cy="2077153"/>
            <wp:effectExtent l="0" t="0" r="0" b="0"/>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33090" cy="2091028"/>
                    </a:xfrm>
                    <a:prstGeom prst="rect">
                      <a:avLst/>
                    </a:prstGeom>
                    <a:noFill/>
                  </pic:spPr>
                </pic:pic>
              </a:graphicData>
            </a:graphic>
          </wp:inline>
        </w:drawing>
      </w:r>
    </w:p>
    <w:p w:rsidR="00C05119" w:rsidRPr="00411062" w:rsidRDefault="00C05119" w:rsidP="00C05119">
      <w:pPr>
        <w:pStyle w:val="Caption"/>
        <w:spacing w:after="360"/>
        <w:jc w:val="center"/>
      </w:pPr>
      <w:r w:rsidRPr="00411062">
        <w:lastRenderedPageBreak/>
        <w:t xml:space="preserve">Figure </w:t>
      </w:r>
      <w:r>
        <w:t>2b: Alternative UE architecture with 3Tx for UL Tx switch between 2Tx carriers</w:t>
      </w:r>
    </w:p>
    <w:p w:rsidR="00C05119" w:rsidRPr="00037111" w:rsidRDefault="00037111" w:rsidP="00C05119">
      <w:r>
        <w:rPr>
          <w:lang w:val="en-US" w:eastAsia="zh-CN"/>
        </w:rPr>
        <w:t>From the WID objective, it mentioned that “</w:t>
      </w:r>
      <w:r w:rsidRPr="00037111">
        <w:rPr>
          <w:rFonts w:eastAsia="等线"/>
          <w:i/>
          <w:lang w:val="en-US" w:eastAsia="ja-JP"/>
        </w:rPr>
        <w:t>Specify UE requirements to enable Tx switching between cases, where 1 carrier on band A and 2 contiguous aggregated carriers on band B</w:t>
      </w:r>
      <w:r>
        <w:rPr>
          <w:rFonts w:eastAsia="等线"/>
          <w:lang w:val="en-US" w:eastAsia="ja-JP"/>
        </w:rPr>
        <w:t>, i.e. intra-band contiguous CA is considered for band B</w:t>
      </w:r>
      <w:r>
        <w:rPr>
          <w:rFonts w:eastAsia="等线" w:hint="eastAsia"/>
          <w:lang w:val="en-US" w:eastAsia="zh-CN"/>
        </w:rPr>
        <w:t>.</w:t>
      </w:r>
      <w:r>
        <w:rPr>
          <w:rFonts w:eastAsia="等线"/>
          <w:lang w:val="en-US" w:eastAsia="zh-CN"/>
        </w:rPr>
        <w:t xml:space="preserve"> Based on the UE architectures analyzed above, 2CCs can be supported by 1Tx chain, which is also benefit to the system performance. Thus, similar to the case of switching between two carriers, where it is mandatory to support 2-layer PUSCH transmission, 2-layer MIMO transmission shall also be mandated for the cases that </w:t>
      </w:r>
      <w:r w:rsidRPr="00037111">
        <w:rPr>
          <w:rFonts w:eastAsia="等线"/>
          <w:lang w:eastAsia="zh-CN"/>
        </w:rPr>
        <w:t>two carriers on band B in 1Tx-2Tx switching scenario and the three carriers on band A+B for 2Tx-2Tx switching scenario.</w:t>
      </w:r>
    </w:p>
    <w:p w:rsidR="004C52CC" w:rsidRPr="00037111" w:rsidRDefault="00037111" w:rsidP="004C52CC">
      <w:pPr>
        <w:rPr>
          <w:b/>
          <w:i/>
          <w:lang w:val="en-US" w:eastAsia="zh-CN"/>
        </w:rPr>
      </w:pPr>
      <w:r w:rsidRPr="00037111">
        <w:rPr>
          <w:b/>
          <w:i/>
          <w:lang w:val="en-US" w:eastAsia="zh-CN"/>
        </w:rPr>
        <w:t>Proposal</w:t>
      </w:r>
      <w:r>
        <w:rPr>
          <w:b/>
          <w:i/>
          <w:lang w:val="en-US" w:eastAsia="zh-CN"/>
        </w:rPr>
        <w:t xml:space="preserve"> 1</w:t>
      </w:r>
      <w:r w:rsidRPr="00037111">
        <w:rPr>
          <w:rFonts w:hint="eastAsia"/>
          <w:b/>
          <w:i/>
          <w:lang w:val="en-US" w:eastAsia="zh-CN"/>
        </w:rPr>
        <w:t>：</w:t>
      </w:r>
      <w:r w:rsidRPr="00037111">
        <w:rPr>
          <w:rFonts w:hint="eastAsia"/>
          <w:b/>
          <w:i/>
          <w:lang w:val="en-US" w:eastAsia="zh-CN"/>
        </w:rPr>
        <w:t xml:space="preserve"> </w:t>
      </w:r>
      <w:r w:rsidRPr="00037111">
        <w:rPr>
          <w:b/>
          <w:i/>
          <w:lang w:val="en-US" w:eastAsia="zh-CN"/>
        </w:rPr>
        <w:t xml:space="preserve">For </w:t>
      </w:r>
      <w:r w:rsidRPr="00037111">
        <w:rPr>
          <w:b/>
          <w:i/>
          <w:lang w:eastAsia="zh-CN"/>
        </w:rPr>
        <w:t>1Tx-2Tx and 2Tx-2Tx switching between band A and band B, it should be mandatory to support 2-layer PUSCH transmission in all the carriers supporting 2Tx, including the two carriers on band B in 1Tx-2Tx switching scenario and the three carriers on band A+B for 2Tx-2Tx switching scenario.</w:t>
      </w:r>
    </w:p>
    <w:p w:rsidR="00B9097E" w:rsidRDefault="00101F32" w:rsidP="00B9097E">
      <w:pPr>
        <w:pStyle w:val="Heading1"/>
        <w:rPr>
          <w:rFonts w:eastAsia="宋体"/>
          <w:lang w:eastAsia="zh-CN"/>
        </w:rPr>
      </w:pPr>
      <w:r>
        <w:rPr>
          <w:rFonts w:eastAsia="宋体"/>
          <w:lang w:eastAsia="zh-CN"/>
        </w:rPr>
        <w:t>Conclusions</w:t>
      </w:r>
    </w:p>
    <w:p w:rsidR="004C52CC" w:rsidRDefault="004C52CC" w:rsidP="004C52CC">
      <w:pPr>
        <w:rPr>
          <w:lang w:val="en-US" w:eastAsia="zh-CN"/>
        </w:rPr>
      </w:pPr>
      <w:r>
        <w:rPr>
          <w:lang w:val="en-US" w:eastAsia="zh-CN"/>
        </w:rPr>
        <w:t xml:space="preserve">This contribution presents discussions on technical </w:t>
      </w:r>
      <w:r w:rsidR="00037111">
        <w:rPr>
          <w:lang w:val="en-US" w:eastAsia="zh-CN"/>
        </w:rPr>
        <w:t>analysis</w:t>
      </w:r>
      <w:r>
        <w:rPr>
          <w:lang w:val="en-US" w:eastAsia="zh-CN"/>
        </w:rPr>
        <w:t xml:space="preserve"> upon the open issue </w:t>
      </w:r>
      <w:r w:rsidR="00037111">
        <w:rPr>
          <w:lang w:val="en-US" w:eastAsia="zh-CN"/>
        </w:rPr>
        <w:t>left in the WF</w:t>
      </w:r>
      <w:r>
        <w:rPr>
          <w:lang w:val="en-US" w:eastAsia="zh-CN"/>
        </w:rPr>
        <w:t xml:space="preserve">. </w:t>
      </w:r>
      <w:r w:rsidR="005D5D6E">
        <w:rPr>
          <w:lang w:val="en-US" w:eastAsia="zh-CN"/>
        </w:rPr>
        <w:t>From UE implementation and performance perspective, we have the following proposal:</w:t>
      </w:r>
    </w:p>
    <w:p w:rsidR="005D5D6E" w:rsidRPr="00037111" w:rsidRDefault="005D5D6E" w:rsidP="005D5D6E">
      <w:pPr>
        <w:rPr>
          <w:b/>
          <w:i/>
          <w:lang w:val="en-US" w:eastAsia="zh-CN"/>
        </w:rPr>
      </w:pPr>
      <w:r w:rsidRPr="00037111">
        <w:rPr>
          <w:b/>
          <w:i/>
          <w:lang w:val="en-US" w:eastAsia="zh-CN"/>
        </w:rPr>
        <w:t>Proposal</w:t>
      </w:r>
      <w:r>
        <w:rPr>
          <w:b/>
          <w:i/>
          <w:lang w:val="en-US" w:eastAsia="zh-CN"/>
        </w:rPr>
        <w:t xml:space="preserve"> 1</w:t>
      </w:r>
      <w:r w:rsidRPr="00037111">
        <w:rPr>
          <w:rFonts w:hint="eastAsia"/>
          <w:b/>
          <w:i/>
          <w:lang w:val="en-US" w:eastAsia="zh-CN"/>
        </w:rPr>
        <w:t>：</w:t>
      </w:r>
      <w:r w:rsidRPr="00037111">
        <w:rPr>
          <w:rFonts w:hint="eastAsia"/>
          <w:b/>
          <w:i/>
          <w:lang w:val="en-US" w:eastAsia="zh-CN"/>
        </w:rPr>
        <w:t xml:space="preserve"> </w:t>
      </w:r>
      <w:r w:rsidRPr="00037111">
        <w:rPr>
          <w:b/>
          <w:i/>
          <w:lang w:val="en-US" w:eastAsia="zh-CN"/>
        </w:rPr>
        <w:t xml:space="preserve">For </w:t>
      </w:r>
      <w:r w:rsidRPr="00037111">
        <w:rPr>
          <w:b/>
          <w:i/>
          <w:lang w:eastAsia="zh-CN"/>
        </w:rPr>
        <w:t>1Tx-2Tx and 2Tx-2Tx switching between band A and band B, it should be mandatory to support 2-layer PUSCH transmission in all the carriers supporting 2Tx, including the two carriers on band B in 1Tx-2Tx switching scenario and the three carriers on band A+B for 2Tx-2Tx switching scenario.</w:t>
      </w:r>
    </w:p>
    <w:p w:rsidR="00245D5E" w:rsidRDefault="00245D5E" w:rsidP="00245D5E">
      <w:pPr>
        <w:pStyle w:val="Heading1"/>
        <w:rPr>
          <w:rFonts w:eastAsia="宋体"/>
          <w:lang w:eastAsia="zh-CN"/>
        </w:rPr>
      </w:pPr>
      <w:r>
        <w:rPr>
          <w:rFonts w:eastAsia="宋体"/>
          <w:lang w:eastAsia="zh-CN"/>
        </w:rPr>
        <w:t>References</w:t>
      </w:r>
    </w:p>
    <w:p w:rsidR="00245D5E" w:rsidRDefault="00245D5E" w:rsidP="00245D5E">
      <w:pPr>
        <w:rPr>
          <w:lang w:val="en-US" w:eastAsia="zh-CN"/>
        </w:rPr>
      </w:pPr>
      <w:r>
        <w:rPr>
          <w:lang w:val="en-US" w:eastAsia="zh-CN"/>
        </w:rPr>
        <w:t xml:space="preserve">[1] </w:t>
      </w:r>
      <w:r w:rsidR="0095154E">
        <w:rPr>
          <w:lang w:val="en-US" w:eastAsia="zh-CN"/>
        </w:rPr>
        <w:t>RP-20</w:t>
      </w:r>
      <w:r w:rsidR="00F77BD5">
        <w:rPr>
          <w:lang w:val="en-US" w:eastAsia="zh-CN"/>
        </w:rPr>
        <w:t>2088</w:t>
      </w:r>
      <w:r w:rsidR="0095154E">
        <w:rPr>
          <w:lang w:val="en-US" w:eastAsia="zh-CN"/>
        </w:rPr>
        <w:t xml:space="preserve">, </w:t>
      </w:r>
      <w:r w:rsidR="00F77BD5">
        <w:rPr>
          <w:lang w:val="en-US" w:eastAsia="zh-CN"/>
        </w:rPr>
        <w:t xml:space="preserve">New WID: </w:t>
      </w:r>
      <w:r w:rsidR="00F77BD5" w:rsidRPr="00F77BD5">
        <w:rPr>
          <w:rFonts w:eastAsia="Batang" w:cs="Arial"/>
          <w:lang w:eastAsia="zh-CN"/>
        </w:rPr>
        <w:t>RF requirements enhancement for NR frequency range 1 (FR1) in Rel-17</w:t>
      </w:r>
      <w:r w:rsidR="0095154E">
        <w:rPr>
          <w:lang w:val="en-US" w:eastAsia="zh-CN"/>
        </w:rPr>
        <w:t xml:space="preserve">, </w:t>
      </w:r>
      <w:r w:rsidR="00F77BD5">
        <w:rPr>
          <w:lang w:val="en-US" w:eastAsia="zh-CN"/>
        </w:rPr>
        <w:t>Huawei, HiSilicon, China Telecom</w:t>
      </w:r>
    </w:p>
    <w:p w:rsidR="00B064EB" w:rsidRPr="00B064EB" w:rsidRDefault="00B064EB" w:rsidP="00245D5E">
      <w:r>
        <w:rPr>
          <w:lang w:val="en-US" w:eastAsia="zh-CN"/>
        </w:rPr>
        <w:t xml:space="preserve">[2] </w:t>
      </w:r>
      <w:r w:rsidRPr="00B064EB">
        <w:t>R4-2017815</w:t>
      </w:r>
      <w:r>
        <w:t xml:space="preserve">, </w:t>
      </w:r>
      <w:r w:rsidRPr="00B064EB">
        <w:t>WF on RF requirements for Rel-17 Tx switching enhancement</w:t>
      </w:r>
      <w:r>
        <w:t>, China Telecom</w:t>
      </w:r>
    </w:p>
    <w:sectPr w:rsidR="00B064EB" w:rsidRPr="00B064EB"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448C" w:rsidRDefault="00C9448C">
      <w:r>
        <w:separator/>
      </w:r>
    </w:p>
  </w:endnote>
  <w:endnote w:type="continuationSeparator" w:id="0">
    <w:p w:rsidR="00C9448C" w:rsidRDefault="00C94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448C" w:rsidRDefault="00C9448C">
      <w:r>
        <w:separator/>
      </w:r>
    </w:p>
  </w:footnote>
  <w:footnote w:type="continuationSeparator" w:id="0">
    <w:p w:rsidR="00C9448C" w:rsidRDefault="00C9448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8C75CB0"/>
    <w:multiLevelType w:val="hybridMultilevel"/>
    <w:tmpl w:val="B8E82C54"/>
    <w:lvl w:ilvl="0" w:tplc="D43EE0DA">
      <w:start w:val="10"/>
      <w:numFmt w:val="bullet"/>
      <w:lvlText w:val="-"/>
      <w:lvlJc w:val="left"/>
      <w:pPr>
        <w:ind w:left="720" w:hanging="360"/>
      </w:pPr>
      <w:rPr>
        <w:rFonts w:ascii="CG Times (WN)" w:eastAsia="宋体" w:hAnsi="CG Times (W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黑体"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6D11257"/>
    <w:multiLevelType w:val="hybridMultilevel"/>
    <w:tmpl w:val="9FC60F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355193"/>
    <w:multiLevelType w:val="hybridMultilevel"/>
    <w:tmpl w:val="72882FE4"/>
    <w:lvl w:ilvl="0" w:tplc="FFFFFFFF">
      <w:start w:val="1"/>
      <w:numFmt w:val="bullet"/>
      <w:lvlText w:val=""/>
      <w:lvlJc w:val="left"/>
      <w:pPr>
        <w:ind w:left="405" w:hanging="360"/>
      </w:pPr>
      <w:rPr>
        <w:rFonts w:ascii="Symbol" w:hAnsi="Symbol" w:hint="default"/>
      </w:rPr>
    </w:lvl>
    <w:lvl w:ilvl="1" w:tplc="5C6C2CFC">
      <w:numFmt w:val="bullet"/>
      <w:lvlText w:val="-"/>
      <w:lvlJc w:val="left"/>
      <w:pPr>
        <w:ind w:left="885" w:hanging="420"/>
      </w:pPr>
      <w:rPr>
        <w:rFonts w:ascii="Times New Roman" w:eastAsia="Times New Roman" w:hAnsi="Times New Roman" w:cs="Times New Roman" w:hint="default"/>
      </w:rPr>
    </w:lvl>
    <w:lvl w:ilvl="2" w:tplc="5C6C2CFC">
      <w:numFmt w:val="bullet"/>
      <w:lvlText w:val="-"/>
      <w:lvlJc w:val="left"/>
      <w:pPr>
        <w:ind w:left="1305" w:hanging="420"/>
      </w:pPr>
      <w:rPr>
        <w:rFonts w:ascii="Times New Roman" w:eastAsia="Times New Roman" w:hAnsi="Times New Roman" w:cs="Times New Roman" w:hint="default"/>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7A44CDF"/>
    <w:multiLevelType w:val="hybridMultilevel"/>
    <w:tmpl w:val="87762EF4"/>
    <w:lvl w:ilvl="0" w:tplc="FFFFFFFF">
      <w:start w:val="1"/>
      <w:numFmt w:val="bullet"/>
      <w:lvlText w:val=""/>
      <w:lvlJc w:val="left"/>
      <w:pPr>
        <w:ind w:left="420" w:hanging="420"/>
      </w:pPr>
      <w:rPr>
        <w:rFonts w:ascii="Symbol" w:hAnsi="Symbol" w:hint="default"/>
      </w:rPr>
    </w:lvl>
    <w:lvl w:ilvl="1" w:tplc="8D72E040">
      <w:start w:val="2048"/>
      <w:numFmt w:val="bullet"/>
      <w:lvlText w:val="–"/>
      <w:lvlJc w:val="left"/>
      <w:pPr>
        <w:ind w:left="840" w:hanging="420"/>
      </w:pPr>
      <w:rPr>
        <w:rFonts w:ascii="Arial" w:hAnsi="Arial"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5BD25A9"/>
    <w:multiLevelType w:val="hybridMultilevel"/>
    <w:tmpl w:val="DAA0E5C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B77FD5"/>
    <w:multiLevelType w:val="hybridMultilevel"/>
    <w:tmpl w:val="F7B6C36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2A0EB680">
      <w:start w:val="1"/>
      <w:numFmt w:val="bullet"/>
      <w:lvlText w:val=""/>
      <w:lvlJc w:val="left"/>
      <w:pPr>
        <w:ind w:left="1305" w:hanging="420"/>
      </w:pPr>
      <w:rPr>
        <w:rFonts w:ascii="Symbol" w:hAnsi="Symbol" w:hint="default"/>
        <w:color w:val="auto"/>
      </w:rPr>
    </w:lvl>
    <w:lvl w:ilvl="3" w:tplc="0409000F">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1" w15:restartNumberingAfterBreak="0">
    <w:nsid w:val="588F2A65"/>
    <w:multiLevelType w:val="hybridMultilevel"/>
    <w:tmpl w:val="63C85876"/>
    <w:lvl w:ilvl="0" w:tplc="FFFFFFFF">
      <w:start w:val="1"/>
      <w:numFmt w:val="bullet"/>
      <w:lvlText w:val=""/>
      <w:lvlJc w:val="left"/>
      <w:pPr>
        <w:ind w:left="704" w:hanging="420"/>
      </w:pPr>
      <w:rPr>
        <w:rFonts w:ascii="Symbol" w:hAnsi="Symbol" w:hint="default"/>
      </w:rPr>
    </w:lvl>
    <w:lvl w:ilvl="1" w:tplc="041D0003">
      <w:start w:val="1"/>
      <w:numFmt w:val="bullet"/>
      <w:lvlText w:val="o"/>
      <w:lvlJc w:val="left"/>
      <w:pPr>
        <w:ind w:left="1124" w:hanging="420"/>
      </w:pPr>
      <w:rPr>
        <w:rFonts w:ascii="Courier New" w:hAnsi="Courier New" w:cs="Courier New" w:hint="default"/>
      </w:rPr>
    </w:lvl>
    <w:lvl w:ilvl="2" w:tplc="8D72E040">
      <w:start w:val="2048"/>
      <w:numFmt w:val="bullet"/>
      <w:lvlText w:val="–"/>
      <w:lvlJc w:val="left"/>
      <w:pPr>
        <w:ind w:left="1544" w:hanging="420"/>
      </w:pPr>
      <w:rPr>
        <w:rFonts w:ascii="Arial" w:hAnsi="Aria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353"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5F2D1600"/>
    <w:multiLevelType w:val="hybridMultilevel"/>
    <w:tmpl w:val="7D0EFD34"/>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FA39F6"/>
    <w:multiLevelType w:val="hybridMultilevel"/>
    <w:tmpl w:val="70BC61E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2D8A84F4">
      <w:start w:val="24"/>
      <w:numFmt w:val="bullet"/>
      <w:lvlText w:val="-"/>
      <w:lvlJc w:val="left"/>
      <w:pPr>
        <w:ind w:left="1260" w:hanging="420"/>
      </w:pPr>
      <w:rPr>
        <w:rFonts w:ascii="Times New Roman" w:eastAsia="Yu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847C07"/>
    <w:multiLevelType w:val="hybridMultilevel"/>
    <w:tmpl w:val="91EA4070"/>
    <w:lvl w:ilvl="0" w:tplc="FFFFFFFF">
      <w:start w:val="1"/>
      <w:numFmt w:val="bullet"/>
      <w:lvlText w:val=""/>
      <w:lvlJc w:val="left"/>
      <w:pPr>
        <w:ind w:left="405" w:hanging="360"/>
      </w:pPr>
      <w:rPr>
        <w:rFonts w:ascii="Symbol" w:hAnsi="Symbol" w:hint="default"/>
      </w:rPr>
    </w:lvl>
    <w:lvl w:ilvl="1" w:tplc="2A0EB680">
      <w:start w:val="1"/>
      <w:numFmt w:val="bullet"/>
      <w:lvlText w:val=""/>
      <w:lvlJc w:val="left"/>
      <w:pPr>
        <w:ind w:left="885" w:hanging="420"/>
      </w:pPr>
      <w:rPr>
        <w:rFonts w:ascii="Symbol" w:hAnsi="Symbol" w:hint="default"/>
        <w:color w:val="auto"/>
      </w:rPr>
    </w:lvl>
    <w:lvl w:ilvl="2" w:tplc="04090005">
      <w:start w:val="1"/>
      <w:numFmt w:val="bullet"/>
      <w:lvlText w:val=""/>
      <w:lvlJc w:val="left"/>
      <w:pPr>
        <w:ind w:left="1305" w:hanging="420"/>
      </w:pPr>
      <w:rPr>
        <w:rFonts w:ascii="Wingdings" w:hAnsi="Wingdings" w:hint="default"/>
        <w:color w:val="auto"/>
      </w:rPr>
    </w:lvl>
    <w:lvl w:ilvl="3" w:tplc="80AE2B12">
      <w:start w:val="18"/>
      <w:numFmt w:val="bullet"/>
      <w:lvlText w:val="-"/>
      <w:lvlJc w:val="left"/>
      <w:pPr>
        <w:ind w:left="1725" w:hanging="420"/>
      </w:pPr>
      <w:rPr>
        <w:rFonts w:ascii="Arial" w:eastAsia="Times New Roman" w:hAnsi="Arial" w:cs="Arial" w:hint="default"/>
        <w:i/>
        <w:color w:val="auto"/>
      </w:r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38D3617"/>
    <w:multiLevelType w:val="hybridMultilevel"/>
    <w:tmpl w:val="78F0EB7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31"/>
  </w:num>
  <w:num w:numId="4">
    <w:abstractNumId w:val="32"/>
  </w:num>
  <w:num w:numId="5">
    <w:abstractNumId w:val="23"/>
  </w:num>
  <w:num w:numId="6">
    <w:abstractNumId w:val="3"/>
  </w:num>
  <w:num w:numId="7">
    <w:abstractNumId w:val="8"/>
  </w:num>
  <w:num w:numId="8">
    <w:abstractNumId w:val="16"/>
  </w:num>
  <w:num w:numId="9">
    <w:abstractNumId w:val="18"/>
  </w:num>
  <w:num w:numId="10">
    <w:abstractNumId w:val="7"/>
  </w:num>
  <w:num w:numId="11">
    <w:abstractNumId w:val="15"/>
  </w:num>
  <w:num w:numId="12">
    <w:abstractNumId w:val="11"/>
  </w:num>
  <w:num w:numId="13">
    <w:abstractNumId w:val="29"/>
  </w:num>
  <w:num w:numId="14">
    <w:abstractNumId w:val="6"/>
  </w:num>
  <w:num w:numId="15">
    <w:abstractNumId w:val="19"/>
  </w:num>
  <w:num w:numId="16">
    <w:abstractNumId w:val="12"/>
  </w:num>
  <w:num w:numId="17">
    <w:abstractNumId w:val="27"/>
  </w:num>
  <w:num w:numId="18">
    <w:abstractNumId w:val="30"/>
  </w:num>
  <w:num w:numId="19">
    <w:abstractNumId w:val="14"/>
  </w:num>
  <w:num w:numId="20">
    <w:abstractNumId w:val="13"/>
  </w:num>
  <w:num w:numId="21">
    <w:abstractNumId w:val="28"/>
  </w:num>
  <w:num w:numId="22">
    <w:abstractNumId w:val="17"/>
  </w:num>
  <w:num w:numId="23">
    <w:abstractNumId w:val="24"/>
  </w:num>
  <w:num w:numId="24">
    <w:abstractNumId w:val="4"/>
  </w:num>
  <w:num w:numId="25">
    <w:abstractNumId w:val="25"/>
  </w:num>
  <w:num w:numId="26">
    <w:abstractNumId w:val="21"/>
  </w:num>
  <w:num w:numId="27">
    <w:abstractNumId w:val="9"/>
  </w:num>
  <w:num w:numId="28">
    <w:abstractNumId w:val="22"/>
  </w:num>
  <w:num w:numId="29">
    <w:abstractNumId w:val="1"/>
  </w:num>
  <w:num w:numId="3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
  </w:num>
  <w:num w:numId="32">
    <w:abstractNumId w:val="10"/>
  </w:num>
  <w:num w:numId="33">
    <w:abstractNumId w:val="20"/>
  </w:num>
  <w:num w:numId="34">
    <w:abstractNumId w:val="26"/>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6"/>
  <w:printFractionalCharacterWidth/>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8FC"/>
    <w:rsid w:val="00002C5F"/>
    <w:rsid w:val="00003904"/>
    <w:rsid w:val="00003DF6"/>
    <w:rsid w:val="00003FCF"/>
    <w:rsid w:val="000044DA"/>
    <w:rsid w:val="00004506"/>
    <w:rsid w:val="00004FAB"/>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7111"/>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1872"/>
    <w:rsid w:val="00081C37"/>
    <w:rsid w:val="0008233A"/>
    <w:rsid w:val="00083024"/>
    <w:rsid w:val="000832CF"/>
    <w:rsid w:val="00083842"/>
    <w:rsid w:val="00083FC9"/>
    <w:rsid w:val="000843D9"/>
    <w:rsid w:val="00084F0C"/>
    <w:rsid w:val="0008542E"/>
    <w:rsid w:val="000854A3"/>
    <w:rsid w:val="00085DF3"/>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D52"/>
    <w:rsid w:val="00184C19"/>
    <w:rsid w:val="00184EF7"/>
    <w:rsid w:val="001860A0"/>
    <w:rsid w:val="00186333"/>
    <w:rsid w:val="00186747"/>
    <w:rsid w:val="00186D70"/>
    <w:rsid w:val="00187920"/>
    <w:rsid w:val="0019227A"/>
    <w:rsid w:val="00192A16"/>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4991"/>
    <w:rsid w:val="0021716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45F2"/>
    <w:rsid w:val="004257D6"/>
    <w:rsid w:val="0042735E"/>
    <w:rsid w:val="004307F1"/>
    <w:rsid w:val="00432380"/>
    <w:rsid w:val="00433E63"/>
    <w:rsid w:val="00434BE2"/>
    <w:rsid w:val="004354E9"/>
    <w:rsid w:val="00435C19"/>
    <w:rsid w:val="00435C42"/>
    <w:rsid w:val="00437000"/>
    <w:rsid w:val="00437A99"/>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AD8"/>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E60"/>
    <w:rsid w:val="00541256"/>
    <w:rsid w:val="00543555"/>
    <w:rsid w:val="0054438E"/>
    <w:rsid w:val="00544BE9"/>
    <w:rsid w:val="00545823"/>
    <w:rsid w:val="00546EF4"/>
    <w:rsid w:val="0054785C"/>
    <w:rsid w:val="005501A1"/>
    <w:rsid w:val="0055053E"/>
    <w:rsid w:val="00550DD0"/>
    <w:rsid w:val="00551346"/>
    <w:rsid w:val="00551ADC"/>
    <w:rsid w:val="00551C3E"/>
    <w:rsid w:val="00551DDD"/>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DD7"/>
    <w:rsid w:val="00586F21"/>
    <w:rsid w:val="00592BD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9EA"/>
    <w:rsid w:val="005C0B1C"/>
    <w:rsid w:val="005C25B7"/>
    <w:rsid w:val="005C268E"/>
    <w:rsid w:val="005C3ADB"/>
    <w:rsid w:val="005C3EA0"/>
    <w:rsid w:val="005C4084"/>
    <w:rsid w:val="005C7656"/>
    <w:rsid w:val="005C7ADC"/>
    <w:rsid w:val="005D0520"/>
    <w:rsid w:val="005D1877"/>
    <w:rsid w:val="005D1DAC"/>
    <w:rsid w:val="005D2618"/>
    <w:rsid w:val="005D2E91"/>
    <w:rsid w:val="005D38FB"/>
    <w:rsid w:val="005D5A2E"/>
    <w:rsid w:val="005D5D6E"/>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5149"/>
    <w:rsid w:val="006158E7"/>
    <w:rsid w:val="00615C80"/>
    <w:rsid w:val="00615EEE"/>
    <w:rsid w:val="00620B0F"/>
    <w:rsid w:val="00621D26"/>
    <w:rsid w:val="00622936"/>
    <w:rsid w:val="00623FA7"/>
    <w:rsid w:val="00625940"/>
    <w:rsid w:val="00625CEF"/>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700BE2"/>
    <w:rsid w:val="00702276"/>
    <w:rsid w:val="00702820"/>
    <w:rsid w:val="0070283A"/>
    <w:rsid w:val="00703478"/>
    <w:rsid w:val="00703490"/>
    <w:rsid w:val="00703CB7"/>
    <w:rsid w:val="00703F1B"/>
    <w:rsid w:val="00705FA1"/>
    <w:rsid w:val="007060C9"/>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76A0"/>
    <w:rsid w:val="007A7DEF"/>
    <w:rsid w:val="007B1D70"/>
    <w:rsid w:val="007B3040"/>
    <w:rsid w:val="007B446A"/>
    <w:rsid w:val="007B4DDA"/>
    <w:rsid w:val="007B4E64"/>
    <w:rsid w:val="007B512A"/>
    <w:rsid w:val="007B5967"/>
    <w:rsid w:val="007B6720"/>
    <w:rsid w:val="007B744C"/>
    <w:rsid w:val="007B74F1"/>
    <w:rsid w:val="007B767D"/>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3555"/>
    <w:rsid w:val="008A4B74"/>
    <w:rsid w:val="008A503B"/>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125D"/>
    <w:rsid w:val="009421CA"/>
    <w:rsid w:val="00942DAE"/>
    <w:rsid w:val="00942E79"/>
    <w:rsid w:val="009433E5"/>
    <w:rsid w:val="00943AAA"/>
    <w:rsid w:val="00944011"/>
    <w:rsid w:val="00946A28"/>
    <w:rsid w:val="009472FB"/>
    <w:rsid w:val="00950BB4"/>
    <w:rsid w:val="0095154E"/>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6333"/>
    <w:rsid w:val="00A16A4C"/>
    <w:rsid w:val="00A21B43"/>
    <w:rsid w:val="00A21FB9"/>
    <w:rsid w:val="00A22E52"/>
    <w:rsid w:val="00A243EE"/>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B8E"/>
    <w:rsid w:val="00AA73DA"/>
    <w:rsid w:val="00AA741A"/>
    <w:rsid w:val="00AA7DFA"/>
    <w:rsid w:val="00AB057B"/>
    <w:rsid w:val="00AB1D36"/>
    <w:rsid w:val="00AB2179"/>
    <w:rsid w:val="00AB2313"/>
    <w:rsid w:val="00AB3629"/>
    <w:rsid w:val="00AB37CE"/>
    <w:rsid w:val="00AB4399"/>
    <w:rsid w:val="00AB4891"/>
    <w:rsid w:val="00AB502E"/>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4EB"/>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A52"/>
    <w:rsid w:val="00BA4A56"/>
    <w:rsid w:val="00BA4FB5"/>
    <w:rsid w:val="00BA516E"/>
    <w:rsid w:val="00BA6D64"/>
    <w:rsid w:val="00BB03C5"/>
    <w:rsid w:val="00BB066A"/>
    <w:rsid w:val="00BB1556"/>
    <w:rsid w:val="00BB399B"/>
    <w:rsid w:val="00BB3BCB"/>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735F"/>
    <w:rsid w:val="00C0058C"/>
    <w:rsid w:val="00C011FD"/>
    <w:rsid w:val="00C022F3"/>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90E8B"/>
    <w:rsid w:val="00C9170E"/>
    <w:rsid w:val="00C92086"/>
    <w:rsid w:val="00C92420"/>
    <w:rsid w:val="00C93080"/>
    <w:rsid w:val="00C9448C"/>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5D62"/>
    <w:rsid w:val="00CE6634"/>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AE1"/>
    <w:rsid w:val="00DE151B"/>
    <w:rsid w:val="00DE1F2B"/>
    <w:rsid w:val="00DE274C"/>
    <w:rsid w:val="00DE287D"/>
    <w:rsid w:val="00DE2A8B"/>
    <w:rsid w:val="00DE3949"/>
    <w:rsid w:val="00DE3DFB"/>
    <w:rsid w:val="00DE4090"/>
    <w:rsid w:val="00DE44BB"/>
    <w:rsid w:val="00DE4A17"/>
    <w:rsid w:val="00DE4B78"/>
    <w:rsid w:val="00DE4C13"/>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A096A"/>
    <w:rsid w:val="00FA0A88"/>
    <w:rsid w:val="00FA1699"/>
    <w:rsid w:val="00FA1FA1"/>
    <w:rsid w:val="00FA2354"/>
    <w:rsid w:val="00FA24AC"/>
    <w:rsid w:val="00FA2A33"/>
    <w:rsid w:val="00FA2CCD"/>
    <w:rsid w:val="00FA4654"/>
    <w:rsid w:val="00FA5242"/>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7F6D"/>
    <w:rsid w:val="00FE174A"/>
    <w:rsid w:val="00FE197B"/>
    <w:rsid w:val="00FE20FC"/>
    <w:rsid w:val="00FE29A6"/>
    <w:rsid w:val="00FE33AC"/>
    <w:rsid w:val="00FE38F2"/>
    <w:rsid w:val="00FE4872"/>
    <w:rsid w:val="00FE49B8"/>
    <w:rsid w:val="00FE4A78"/>
    <w:rsid w:val="00FE536E"/>
    <w:rsid w:val="00FE55FE"/>
    <w:rsid w:val="00FE719B"/>
    <w:rsid w:val="00FE7A7B"/>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style>
  <w:style w:type="character" w:customStyle="1" w:styleId="B4Char">
    <w:name w:val="B4 Char"/>
    <w:link w:val="B4"/>
    <w:rsid w:val="00415963"/>
    <w:rPr>
      <w:rFonts w:eastAsia="宋体"/>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宋体"/>
      <w:color w:val="0000FF"/>
      <w:u w:val="single"/>
      <w:lang w:val="en-US" w:eastAsia="zh-CN" w:bidi="ar-SA"/>
    </w:rPr>
  </w:style>
  <w:style w:type="character" w:styleId="CommentReference">
    <w:name w:val="annotation reference"/>
    <w:uiPriority w:val="99"/>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宋体"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宋体"/>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uiPriority w:val="99"/>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basedOn w:val="Normal"/>
    <w:uiPriority w:val="34"/>
    <w:qFormat/>
    <w:rsid w:val="00C82EB4"/>
    <w:pPr>
      <w:spacing w:after="0"/>
      <w:ind w:firstLineChars="200" w:firstLine="420"/>
    </w:pPr>
    <w:rPr>
      <w:rFonts w:ascii="宋体" w:hAnsi="宋体" w:cs="宋体"/>
      <w:sz w:val="24"/>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宋体"/>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宋体"/>
      <w:lang w:val="en-GB" w:eastAsia="en-US"/>
    </w:rPr>
  </w:style>
  <w:style w:type="character" w:customStyle="1" w:styleId="BalloonTextChar">
    <w:name w:val="Balloon Text Char"/>
    <w:link w:val="BalloonText"/>
    <w:rsid w:val="00B1158E"/>
    <w:rPr>
      <w:rFonts w:ascii="Tahoma" w:eastAsia="宋体" w:hAnsi="Tahoma" w:cs="Tahoma"/>
      <w:sz w:val="16"/>
      <w:szCs w:val="16"/>
      <w:lang w:val="en-GB" w:eastAsia="en-US"/>
    </w:rPr>
  </w:style>
  <w:style w:type="character" w:customStyle="1" w:styleId="CommentSubjectChar">
    <w:name w:val="Comment Subject Char"/>
    <w:link w:val="CommentSubject"/>
    <w:rsid w:val="00B1158E"/>
    <w:rPr>
      <w:rFonts w:eastAsia="宋体"/>
      <w:b/>
      <w:bCs/>
      <w:lang w:val="en-GB" w:eastAsia="en-US"/>
    </w:rPr>
  </w:style>
  <w:style w:type="character" w:customStyle="1" w:styleId="DocumentMapChar">
    <w:name w:val="Document Map Char"/>
    <w:link w:val="DocumentMap"/>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宋体"/>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
    <w:name w:val="Unresolved Mention"/>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34445339">
      <w:bodyDiv w:val="1"/>
      <w:marLeft w:val="0"/>
      <w:marRight w:val="0"/>
      <w:marTop w:val="0"/>
      <w:marBottom w:val="0"/>
      <w:divBdr>
        <w:top w:val="none" w:sz="0" w:space="0" w:color="auto"/>
        <w:left w:val="none" w:sz="0" w:space="0" w:color="auto"/>
        <w:bottom w:val="none" w:sz="0" w:space="0" w:color="auto"/>
        <w:right w:val="none" w:sz="0" w:space="0" w:color="auto"/>
      </w:divBdr>
      <w:divsChild>
        <w:div w:id="1499426074">
          <w:marLeft w:val="547"/>
          <w:marRight w:val="0"/>
          <w:marTop w:val="115"/>
          <w:marBottom w:val="0"/>
          <w:divBdr>
            <w:top w:val="none" w:sz="0" w:space="0" w:color="auto"/>
            <w:left w:val="none" w:sz="0" w:space="0" w:color="auto"/>
            <w:bottom w:val="none" w:sz="0" w:space="0" w:color="auto"/>
            <w:right w:val="none" w:sz="0" w:space="0" w:color="auto"/>
          </w:divBdr>
        </w:div>
      </w:divsChild>
    </w:div>
    <w:div w:id="498811800">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5D34C5-AB0F-4719-A9F9-FB4BDF7EE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3</Pages>
  <Words>951</Words>
  <Characters>5422</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6361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cp:lastModifiedBy>Huawei</cp:lastModifiedBy>
  <cp:revision>5</cp:revision>
  <cp:lastPrinted>2009-04-22T01:01:00Z</cp:lastPrinted>
  <dcterms:created xsi:type="dcterms:W3CDTF">2021-01-11T07:15:00Z</dcterms:created>
  <dcterms:modified xsi:type="dcterms:W3CDTF">2021-01-15T17:53:00Z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(3)zbPrNfsGbEegNeJxMtP5EPhaXtjIhcIDoonntzuqIxTVbn3wZJH6KLibvqJpIlcXYvJnb6B+
hoDmEbrwko8bN9RxP/wzOdxIlR97rmxKSyvPsrLBIbVUSehRfS9ZsNguy/sTvPw09BJXDJRL
HdLEf29ZBFsR66jOqv1XhczSwqDhCc5gd5ViSpLTFmIAqOfOJUFvgSlfZqTXcrXtZT21VlY8
tDniOqyn4Yg278yhAI</vt:lpwstr>
  </property>
  <property fmtid="{D5CDD505-2E9C-101B-9397-08002B2CF9AE}" pid="17" name="_2015_ms_pID_725343_00">
    <vt:lpwstr>_2015_ms_pID_725343</vt:lpwstr>
  </property>
  <property fmtid="{D5CDD505-2E9C-101B-9397-08002B2CF9AE}" pid="18" name="_2015_ms_pID_7253431">
    <vt:lpwstr>FC6IyDZ0uFvotv9SYyjS+FRVzMiCSoKh57JTmj3s1AKrdp7kKwHtf1
lGe+ajw8WXH/Zw7s1l2LOfb90lZHoGZtsjYiOR0310yh/y2D+BXiHFo8xdslWtkB3X/sYDoe
g11fRU7xOEBbjsfZ19dGLFK0v8BFX4Gpua17KKPfV+28/0yU9KwosyaHbBPM0uKU3klZoC0H
W0OrCLqvS2rLMDY/gvjCSQChRTteE0uiAcvv</vt:lpwstr>
  </property>
  <property fmtid="{D5CDD505-2E9C-101B-9397-08002B2CF9AE}" pid="19" name="_2015_ms_pID_7253431_00">
    <vt:lpwstr>_2015_ms_pID_7253431</vt:lpwstr>
  </property>
  <property fmtid="{D5CDD505-2E9C-101B-9397-08002B2CF9AE}" pid="20" name="_2015_ms_pID_7253432">
    <vt:lpwstr>Z0UqxG3G9n252JzCbN2QCP50c4xmddcWhtH2
gcO185865QtHVFdn1TgbvMkePtFpePLZ+deS+84HQDtar5OVZDA=</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